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F80EA" w14:textId="77777777" w:rsidR="00732192" w:rsidRDefault="00BC704B" w:rsidP="00A6094B">
      <w:pPr>
        <w:pStyle w:val="ListParagraph"/>
        <w:numPr>
          <w:ilvl w:val="0"/>
          <w:numId w:val="1"/>
        </w:numPr>
        <w:tabs>
          <w:tab w:val="left" w:pos="487"/>
        </w:tabs>
        <w:spacing w:before="240"/>
        <w:ind w:left="283" w:right="0" w:hanging="283"/>
        <w:jc w:val="both"/>
      </w:pPr>
      <w:bookmarkStart w:id="0" w:name="_GoBack"/>
      <w:bookmarkEnd w:id="0"/>
      <w:r>
        <w:t xml:space="preserve">In 2016, the Queensland Government released the Queensland Violence against Women Prevention Plan 2016-22 (the VAWPP) as a framework for eliminating all forms of violence against women and girls.  </w:t>
      </w:r>
    </w:p>
    <w:p w14:paraId="2FB88B4C" w14:textId="766D51EE" w:rsidR="00732192" w:rsidRDefault="00BC704B" w:rsidP="00A6094B">
      <w:pPr>
        <w:pStyle w:val="ListParagraph"/>
        <w:numPr>
          <w:ilvl w:val="0"/>
          <w:numId w:val="1"/>
        </w:numPr>
        <w:tabs>
          <w:tab w:val="left" w:pos="487"/>
        </w:tabs>
        <w:spacing w:before="240"/>
        <w:ind w:left="283" w:right="0" w:hanging="283"/>
        <w:jc w:val="both"/>
      </w:pPr>
      <w:r>
        <w:t>With</w:t>
      </w:r>
      <w:r w:rsidRPr="00A6094B">
        <w:rPr>
          <w:spacing w:val="-5"/>
        </w:rPr>
        <w:t xml:space="preserve"> </w:t>
      </w:r>
      <w:r>
        <w:t>increasing</w:t>
      </w:r>
      <w:r w:rsidRPr="00A6094B">
        <w:rPr>
          <w:spacing w:val="-5"/>
        </w:rPr>
        <w:t xml:space="preserve"> </w:t>
      </w:r>
      <w:r>
        <w:t>community</w:t>
      </w:r>
      <w:r w:rsidRPr="00A6094B">
        <w:rPr>
          <w:spacing w:val="-4"/>
        </w:rPr>
        <w:t xml:space="preserve"> </w:t>
      </w:r>
      <w:r>
        <w:t>awareness</w:t>
      </w:r>
      <w:r w:rsidRPr="00A6094B">
        <w:rPr>
          <w:spacing w:val="-5"/>
        </w:rPr>
        <w:t xml:space="preserve"> </w:t>
      </w:r>
      <w:r>
        <w:t>of</w:t>
      </w:r>
      <w:r w:rsidRPr="00A6094B">
        <w:rPr>
          <w:spacing w:val="-5"/>
        </w:rPr>
        <w:t xml:space="preserve"> </w:t>
      </w:r>
      <w:r>
        <w:t>issues</w:t>
      </w:r>
      <w:r w:rsidRPr="00A6094B">
        <w:rPr>
          <w:spacing w:val="-5"/>
        </w:rPr>
        <w:t xml:space="preserve"> </w:t>
      </w:r>
      <w:r>
        <w:t>relating</w:t>
      </w:r>
      <w:r w:rsidRPr="00A6094B">
        <w:rPr>
          <w:spacing w:val="-5"/>
        </w:rPr>
        <w:t xml:space="preserve"> </w:t>
      </w:r>
      <w:r>
        <w:t>to</w:t>
      </w:r>
      <w:r w:rsidRPr="00A6094B">
        <w:rPr>
          <w:spacing w:val="-4"/>
        </w:rPr>
        <w:t xml:space="preserve"> </w:t>
      </w:r>
      <w:r>
        <w:t>sexual</w:t>
      </w:r>
      <w:r w:rsidRPr="00A6094B">
        <w:rPr>
          <w:spacing w:val="-5"/>
        </w:rPr>
        <w:t xml:space="preserve"> </w:t>
      </w:r>
      <w:r>
        <w:t>violence,</w:t>
      </w:r>
      <w:r w:rsidRPr="00A6094B">
        <w:rPr>
          <w:spacing w:val="-5"/>
        </w:rPr>
        <w:t xml:space="preserve"> </w:t>
      </w:r>
      <w:r>
        <w:t>the</w:t>
      </w:r>
      <w:r w:rsidRPr="00A6094B">
        <w:rPr>
          <w:spacing w:val="-5"/>
        </w:rPr>
        <w:t xml:space="preserve"> </w:t>
      </w:r>
      <w:r>
        <w:t>Queensland Government now intends to develop an overarching framework for sexual violence prevention in Queensland. The framework will span the continuum of sexual violence and build on a refresh of actions under the</w:t>
      </w:r>
      <w:r w:rsidRPr="00A6094B">
        <w:rPr>
          <w:spacing w:val="-10"/>
        </w:rPr>
        <w:t xml:space="preserve"> </w:t>
      </w:r>
      <w:r>
        <w:t>VAWPP.</w:t>
      </w:r>
      <w:r w:rsidR="00A6094B">
        <w:t xml:space="preserve"> </w:t>
      </w:r>
      <w:r>
        <w:t>The development of the framework will be undertaken in consultation with key stakeholders, and will consider all issues related to sexual violence, including the findings of the Youth Sexual Violence and Abuse (YSVA) Steering</w:t>
      </w:r>
      <w:r w:rsidRPr="00A6094B">
        <w:rPr>
          <w:spacing w:val="-10"/>
        </w:rPr>
        <w:t xml:space="preserve"> </w:t>
      </w:r>
      <w:r>
        <w:t>Committee.</w:t>
      </w:r>
    </w:p>
    <w:p w14:paraId="748A5B76" w14:textId="77777777" w:rsidR="00732192" w:rsidRDefault="00BC704B" w:rsidP="00A6094B">
      <w:pPr>
        <w:pStyle w:val="ListParagraph"/>
        <w:numPr>
          <w:ilvl w:val="0"/>
          <w:numId w:val="1"/>
        </w:numPr>
        <w:tabs>
          <w:tab w:val="left" w:pos="487"/>
        </w:tabs>
        <w:spacing w:before="240"/>
        <w:ind w:left="283" w:right="0" w:hanging="283"/>
        <w:jc w:val="both"/>
      </w:pPr>
      <w:r>
        <w:t>The</w:t>
      </w:r>
      <w:r>
        <w:rPr>
          <w:spacing w:val="-11"/>
        </w:rPr>
        <w:t xml:space="preserve"> </w:t>
      </w:r>
      <w:r>
        <w:t>Queensland</w:t>
      </w:r>
      <w:r>
        <w:rPr>
          <w:spacing w:val="-11"/>
        </w:rPr>
        <w:t xml:space="preserve"> </w:t>
      </w:r>
      <w:r>
        <w:t>Government</w:t>
      </w:r>
      <w:r>
        <w:rPr>
          <w:spacing w:val="-11"/>
        </w:rPr>
        <w:t xml:space="preserve"> </w:t>
      </w:r>
      <w:r>
        <w:t>announced</w:t>
      </w:r>
      <w:r>
        <w:rPr>
          <w:spacing w:val="-11"/>
        </w:rPr>
        <w:t xml:space="preserve"> </w:t>
      </w:r>
      <w:r>
        <w:t>the</w:t>
      </w:r>
      <w:r>
        <w:rPr>
          <w:spacing w:val="-11"/>
        </w:rPr>
        <w:t xml:space="preserve"> </w:t>
      </w:r>
      <w:r>
        <w:t>YSVA</w:t>
      </w:r>
      <w:r>
        <w:rPr>
          <w:spacing w:val="-11"/>
        </w:rPr>
        <w:t xml:space="preserve"> </w:t>
      </w:r>
      <w:r>
        <w:t>Steering</w:t>
      </w:r>
      <w:r>
        <w:rPr>
          <w:spacing w:val="-11"/>
        </w:rPr>
        <w:t xml:space="preserve"> </w:t>
      </w:r>
      <w:r>
        <w:t>Committee</w:t>
      </w:r>
      <w:r>
        <w:rPr>
          <w:spacing w:val="-10"/>
        </w:rPr>
        <w:t xml:space="preserve"> </w:t>
      </w:r>
      <w:r>
        <w:t>in</w:t>
      </w:r>
      <w:r>
        <w:rPr>
          <w:spacing w:val="-11"/>
        </w:rPr>
        <w:t xml:space="preserve"> </w:t>
      </w:r>
      <w:r>
        <w:t>March</w:t>
      </w:r>
      <w:r>
        <w:rPr>
          <w:spacing w:val="-11"/>
        </w:rPr>
        <w:t xml:space="preserve"> </w:t>
      </w:r>
      <w:r>
        <w:t>2016.</w:t>
      </w:r>
      <w:r>
        <w:rPr>
          <w:spacing w:val="-12"/>
        </w:rPr>
        <w:t xml:space="preserve"> </w:t>
      </w:r>
      <w:r>
        <w:t>The YSVA Steering Committee was tasked with producing two</w:t>
      </w:r>
      <w:r>
        <w:rPr>
          <w:spacing w:val="-10"/>
        </w:rPr>
        <w:t xml:space="preserve"> </w:t>
      </w:r>
      <w:r>
        <w:t>reports.</w:t>
      </w:r>
    </w:p>
    <w:p w14:paraId="09A15CAC" w14:textId="77777777" w:rsidR="00732192" w:rsidRDefault="00BC704B" w:rsidP="00A6094B">
      <w:pPr>
        <w:pStyle w:val="ListParagraph"/>
        <w:numPr>
          <w:ilvl w:val="0"/>
          <w:numId w:val="1"/>
        </w:numPr>
        <w:tabs>
          <w:tab w:val="left" w:pos="487"/>
        </w:tabs>
        <w:spacing w:before="240"/>
        <w:ind w:left="283" w:right="0" w:hanging="283"/>
        <w:jc w:val="both"/>
      </w:pPr>
      <w:r>
        <w:t>The</w:t>
      </w:r>
      <w:r>
        <w:rPr>
          <w:spacing w:val="-8"/>
        </w:rPr>
        <w:t xml:space="preserve"> </w:t>
      </w:r>
      <w:r>
        <w:t>first</w:t>
      </w:r>
      <w:r>
        <w:rPr>
          <w:spacing w:val="-8"/>
        </w:rPr>
        <w:t xml:space="preserve"> </w:t>
      </w:r>
      <w:r>
        <w:t>report</w:t>
      </w:r>
      <w:r>
        <w:rPr>
          <w:spacing w:val="-8"/>
        </w:rPr>
        <w:t xml:space="preserve"> </w:t>
      </w:r>
      <w:r>
        <w:t>identified</w:t>
      </w:r>
      <w:r>
        <w:rPr>
          <w:spacing w:val="-9"/>
        </w:rPr>
        <w:t xml:space="preserve"> </w:t>
      </w:r>
      <w:r>
        <w:t>barriers</w:t>
      </w:r>
      <w:r>
        <w:rPr>
          <w:spacing w:val="-8"/>
        </w:rPr>
        <w:t xml:space="preserve"> </w:t>
      </w:r>
      <w:r>
        <w:t>to</w:t>
      </w:r>
      <w:r>
        <w:rPr>
          <w:spacing w:val="-8"/>
        </w:rPr>
        <w:t xml:space="preserve"> </w:t>
      </w:r>
      <w:r>
        <w:t>addressing</w:t>
      </w:r>
      <w:r>
        <w:rPr>
          <w:spacing w:val="-8"/>
        </w:rPr>
        <w:t xml:space="preserve"> </w:t>
      </w:r>
      <w:r>
        <w:t>youth</w:t>
      </w:r>
      <w:r>
        <w:rPr>
          <w:spacing w:val="-8"/>
        </w:rPr>
        <w:t xml:space="preserve"> </w:t>
      </w:r>
      <w:r>
        <w:t>sexual</w:t>
      </w:r>
      <w:r>
        <w:rPr>
          <w:spacing w:val="-8"/>
        </w:rPr>
        <w:t xml:space="preserve"> </w:t>
      </w:r>
      <w:r>
        <w:t>violence</w:t>
      </w:r>
      <w:r>
        <w:rPr>
          <w:spacing w:val="-8"/>
        </w:rPr>
        <w:t xml:space="preserve"> </w:t>
      </w:r>
      <w:r>
        <w:t>and</w:t>
      </w:r>
      <w:r>
        <w:rPr>
          <w:spacing w:val="-8"/>
        </w:rPr>
        <w:t xml:space="preserve"> </w:t>
      </w:r>
      <w:r>
        <w:t>abuse,</w:t>
      </w:r>
      <w:r>
        <w:rPr>
          <w:spacing w:val="-8"/>
        </w:rPr>
        <w:t xml:space="preserve"> </w:t>
      </w:r>
      <w:r>
        <w:t>specifically in Aurukun and West Cairns. The Queensland Government response to the first report accepted all seven recommendations and committed funding to address youth sexual violence and abuse in these two</w:t>
      </w:r>
      <w:r>
        <w:rPr>
          <w:spacing w:val="-11"/>
        </w:rPr>
        <w:t xml:space="preserve"> </w:t>
      </w:r>
      <w:r>
        <w:t>communities.</w:t>
      </w:r>
    </w:p>
    <w:p w14:paraId="038DD6BB" w14:textId="77777777" w:rsidR="00732192" w:rsidRDefault="00BC704B" w:rsidP="00A6094B">
      <w:pPr>
        <w:pStyle w:val="ListParagraph"/>
        <w:numPr>
          <w:ilvl w:val="0"/>
          <w:numId w:val="1"/>
        </w:numPr>
        <w:tabs>
          <w:tab w:val="left" w:pos="487"/>
        </w:tabs>
        <w:spacing w:before="240"/>
        <w:ind w:left="283" w:right="0" w:hanging="283"/>
        <w:jc w:val="both"/>
      </w:pPr>
      <w:r>
        <w:t>The second and final report acknowledges that youth sexual violence and abuse is a statewide issue, affecting young people in urban centres, regional towns and remote communities. The report highlighted a number of issues, including</w:t>
      </w:r>
      <w:r>
        <w:rPr>
          <w:spacing w:val="-14"/>
        </w:rPr>
        <w:t xml:space="preserve"> </w:t>
      </w:r>
      <w:r>
        <w:t>that:</w:t>
      </w:r>
    </w:p>
    <w:p w14:paraId="73738126" w14:textId="77777777" w:rsidR="00732192" w:rsidRDefault="00BC704B" w:rsidP="00A6094B">
      <w:pPr>
        <w:pStyle w:val="ListParagraph"/>
        <w:numPr>
          <w:ilvl w:val="1"/>
          <w:numId w:val="1"/>
        </w:numPr>
        <w:tabs>
          <w:tab w:val="left" w:pos="771"/>
        </w:tabs>
        <w:spacing w:before="60" w:line="237" w:lineRule="auto"/>
        <w:ind w:left="624" w:right="0" w:hanging="284"/>
        <w:jc w:val="both"/>
      </w:pPr>
      <w:r>
        <w:t>areas worst affected by youth sexual violence and abuse also experience high rates of social dysfunction and economic</w:t>
      </w:r>
      <w:r>
        <w:rPr>
          <w:spacing w:val="-10"/>
        </w:rPr>
        <w:t xml:space="preserve"> </w:t>
      </w:r>
      <w:r>
        <w:t>disadvantage</w:t>
      </w:r>
    </w:p>
    <w:p w14:paraId="312E7801" w14:textId="77777777" w:rsidR="00732192" w:rsidRDefault="00BC704B" w:rsidP="00A6094B">
      <w:pPr>
        <w:pStyle w:val="ListParagraph"/>
        <w:numPr>
          <w:ilvl w:val="1"/>
          <w:numId w:val="1"/>
        </w:numPr>
        <w:tabs>
          <w:tab w:val="left" w:pos="771"/>
        </w:tabs>
        <w:spacing w:before="60" w:line="237" w:lineRule="auto"/>
        <w:ind w:left="624" w:right="0" w:hanging="284"/>
        <w:jc w:val="both"/>
      </w:pPr>
      <w:r>
        <w:t>youth sexual violence and abuse is a gendered issue, with young women and girls more likely to be</w:t>
      </w:r>
      <w:r>
        <w:rPr>
          <w:spacing w:val="-3"/>
        </w:rPr>
        <w:t xml:space="preserve"> </w:t>
      </w:r>
      <w:r>
        <w:t>victims</w:t>
      </w:r>
    </w:p>
    <w:p w14:paraId="5EBE991A" w14:textId="77777777" w:rsidR="00732192" w:rsidRDefault="00BC704B" w:rsidP="00A6094B">
      <w:pPr>
        <w:pStyle w:val="ListParagraph"/>
        <w:numPr>
          <w:ilvl w:val="1"/>
          <w:numId w:val="1"/>
        </w:numPr>
        <w:tabs>
          <w:tab w:val="left" w:pos="771"/>
        </w:tabs>
        <w:spacing w:before="60"/>
        <w:ind w:left="624" w:right="0" w:hanging="284"/>
        <w:jc w:val="both"/>
      </w:pPr>
      <w:r>
        <w:t>Indigenous</w:t>
      </w:r>
      <w:r>
        <w:rPr>
          <w:spacing w:val="-14"/>
        </w:rPr>
        <w:t xml:space="preserve"> </w:t>
      </w:r>
      <w:r>
        <w:t>young</w:t>
      </w:r>
      <w:r>
        <w:rPr>
          <w:spacing w:val="-13"/>
        </w:rPr>
        <w:t xml:space="preserve"> </w:t>
      </w:r>
      <w:r>
        <w:t>people</w:t>
      </w:r>
      <w:r>
        <w:rPr>
          <w:spacing w:val="-13"/>
        </w:rPr>
        <w:t xml:space="preserve"> </w:t>
      </w:r>
      <w:r>
        <w:t>are</w:t>
      </w:r>
      <w:r>
        <w:rPr>
          <w:spacing w:val="-13"/>
        </w:rPr>
        <w:t xml:space="preserve"> </w:t>
      </w:r>
      <w:r>
        <w:t>twice</w:t>
      </w:r>
      <w:r>
        <w:rPr>
          <w:spacing w:val="-13"/>
        </w:rPr>
        <w:t xml:space="preserve"> </w:t>
      </w:r>
      <w:r>
        <w:t>as</w:t>
      </w:r>
      <w:r>
        <w:rPr>
          <w:spacing w:val="-13"/>
        </w:rPr>
        <w:t xml:space="preserve"> </w:t>
      </w:r>
      <w:r>
        <w:t>likely</w:t>
      </w:r>
      <w:r>
        <w:rPr>
          <w:spacing w:val="-13"/>
        </w:rPr>
        <w:t xml:space="preserve"> </w:t>
      </w:r>
      <w:r>
        <w:t>as</w:t>
      </w:r>
      <w:r>
        <w:rPr>
          <w:spacing w:val="-13"/>
        </w:rPr>
        <w:t xml:space="preserve"> </w:t>
      </w:r>
      <w:r>
        <w:t>non-Indigenous</w:t>
      </w:r>
      <w:r>
        <w:rPr>
          <w:spacing w:val="-11"/>
        </w:rPr>
        <w:t xml:space="preserve"> </w:t>
      </w:r>
      <w:r>
        <w:t>young</w:t>
      </w:r>
      <w:r>
        <w:rPr>
          <w:spacing w:val="-13"/>
        </w:rPr>
        <w:t xml:space="preserve"> </w:t>
      </w:r>
      <w:r>
        <w:t>people</w:t>
      </w:r>
      <w:r>
        <w:rPr>
          <w:spacing w:val="-13"/>
        </w:rPr>
        <w:t xml:space="preserve"> </w:t>
      </w:r>
      <w:r>
        <w:t>to</w:t>
      </w:r>
      <w:r>
        <w:rPr>
          <w:spacing w:val="-13"/>
        </w:rPr>
        <w:t xml:space="preserve"> </w:t>
      </w:r>
      <w:r>
        <w:t>be</w:t>
      </w:r>
      <w:r>
        <w:rPr>
          <w:spacing w:val="-13"/>
        </w:rPr>
        <w:t xml:space="preserve"> </w:t>
      </w:r>
      <w:r>
        <w:t>victims</w:t>
      </w:r>
    </w:p>
    <w:p w14:paraId="51045303" w14:textId="77777777" w:rsidR="00732192" w:rsidRDefault="00BC704B" w:rsidP="00A6094B">
      <w:pPr>
        <w:pStyle w:val="ListParagraph"/>
        <w:numPr>
          <w:ilvl w:val="1"/>
          <w:numId w:val="1"/>
        </w:numPr>
        <w:tabs>
          <w:tab w:val="left" w:pos="771"/>
        </w:tabs>
        <w:spacing w:before="60" w:line="237" w:lineRule="auto"/>
        <w:ind w:left="624" w:right="0" w:hanging="284"/>
        <w:jc w:val="both"/>
      </w:pPr>
      <w:r>
        <w:t>increased access to digital and communication technologies has led to an increase in behaviours such as sexualised online activity and</w:t>
      </w:r>
      <w:r>
        <w:rPr>
          <w:spacing w:val="-13"/>
        </w:rPr>
        <w:t xml:space="preserve"> </w:t>
      </w:r>
      <w:r>
        <w:t>‘sexting’</w:t>
      </w:r>
    </w:p>
    <w:p w14:paraId="2DF16864" w14:textId="77777777" w:rsidR="00732192" w:rsidRDefault="00BC704B" w:rsidP="00A6094B">
      <w:pPr>
        <w:pStyle w:val="ListParagraph"/>
        <w:numPr>
          <w:ilvl w:val="1"/>
          <w:numId w:val="1"/>
        </w:numPr>
        <w:tabs>
          <w:tab w:val="left" w:pos="771"/>
        </w:tabs>
        <w:spacing w:before="60" w:line="237" w:lineRule="auto"/>
        <w:ind w:left="624" w:right="0" w:hanging="284"/>
        <w:jc w:val="both"/>
      </w:pPr>
      <w:r>
        <w:t>the silence around youth sexual violence and abuse is a major obstacle in responding to the</w:t>
      </w:r>
      <w:r>
        <w:rPr>
          <w:spacing w:val="-2"/>
        </w:rPr>
        <w:t xml:space="preserve"> </w:t>
      </w:r>
      <w:r>
        <w:t>issue.</w:t>
      </w:r>
    </w:p>
    <w:p w14:paraId="79359593" w14:textId="77777777" w:rsidR="00732192" w:rsidRDefault="00BC704B" w:rsidP="00A6094B">
      <w:pPr>
        <w:pStyle w:val="ListParagraph"/>
        <w:numPr>
          <w:ilvl w:val="0"/>
          <w:numId w:val="1"/>
        </w:numPr>
        <w:tabs>
          <w:tab w:val="left" w:pos="487"/>
        </w:tabs>
        <w:spacing w:before="240"/>
        <w:ind w:left="283" w:right="0" w:hanging="283"/>
        <w:jc w:val="both"/>
      </w:pPr>
      <w:r>
        <w:t>The</w:t>
      </w:r>
      <w:r>
        <w:rPr>
          <w:spacing w:val="-16"/>
        </w:rPr>
        <w:t xml:space="preserve"> </w:t>
      </w:r>
      <w:r>
        <w:t>Final</w:t>
      </w:r>
      <w:r>
        <w:rPr>
          <w:spacing w:val="-16"/>
        </w:rPr>
        <w:t xml:space="preserve"> </w:t>
      </w:r>
      <w:r>
        <w:t>Report</w:t>
      </w:r>
      <w:r>
        <w:rPr>
          <w:spacing w:val="-17"/>
        </w:rPr>
        <w:t xml:space="preserve"> </w:t>
      </w:r>
      <w:r>
        <w:t>makes</w:t>
      </w:r>
      <w:r>
        <w:rPr>
          <w:spacing w:val="-17"/>
        </w:rPr>
        <w:t xml:space="preserve"> </w:t>
      </w:r>
      <w:r>
        <w:t>31</w:t>
      </w:r>
      <w:r>
        <w:rPr>
          <w:spacing w:val="-17"/>
        </w:rPr>
        <w:t xml:space="preserve"> </w:t>
      </w:r>
      <w:r>
        <w:t>recommendations</w:t>
      </w:r>
      <w:r>
        <w:rPr>
          <w:spacing w:val="-17"/>
        </w:rPr>
        <w:t xml:space="preserve"> </w:t>
      </w:r>
      <w:r>
        <w:t>to</w:t>
      </w:r>
      <w:r>
        <w:rPr>
          <w:spacing w:val="-18"/>
        </w:rPr>
        <w:t xml:space="preserve"> </w:t>
      </w:r>
      <w:r>
        <w:t>bring</w:t>
      </w:r>
      <w:r>
        <w:rPr>
          <w:spacing w:val="-17"/>
        </w:rPr>
        <w:t xml:space="preserve"> </w:t>
      </w:r>
      <w:r>
        <w:t>about</w:t>
      </w:r>
      <w:r>
        <w:rPr>
          <w:spacing w:val="-17"/>
        </w:rPr>
        <w:t xml:space="preserve"> </w:t>
      </w:r>
      <w:r>
        <w:t>both</w:t>
      </w:r>
      <w:r>
        <w:rPr>
          <w:spacing w:val="-17"/>
        </w:rPr>
        <w:t xml:space="preserve"> </w:t>
      </w:r>
      <w:r>
        <w:t>short-term</w:t>
      </w:r>
      <w:r>
        <w:rPr>
          <w:spacing w:val="-17"/>
        </w:rPr>
        <w:t xml:space="preserve"> </w:t>
      </w:r>
      <w:r>
        <w:t>and</w:t>
      </w:r>
      <w:r>
        <w:rPr>
          <w:spacing w:val="-17"/>
        </w:rPr>
        <w:t xml:space="preserve"> </w:t>
      </w:r>
      <w:r>
        <w:t>longer-term, generational</w:t>
      </w:r>
      <w:r>
        <w:rPr>
          <w:spacing w:val="-8"/>
        </w:rPr>
        <w:t xml:space="preserve"> </w:t>
      </w:r>
      <w:r>
        <w:t>change.</w:t>
      </w:r>
      <w:r>
        <w:rPr>
          <w:spacing w:val="-8"/>
        </w:rPr>
        <w:t xml:space="preserve"> </w:t>
      </w:r>
      <w:r>
        <w:t>The</w:t>
      </w:r>
      <w:r>
        <w:rPr>
          <w:spacing w:val="-8"/>
        </w:rPr>
        <w:t xml:space="preserve"> </w:t>
      </w:r>
      <w:r>
        <w:t>recommendations</w:t>
      </w:r>
      <w:r>
        <w:rPr>
          <w:spacing w:val="-8"/>
        </w:rPr>
        <w:t xml:space="preserve"> </w:t>
      </w:r>
      <w:r>
        <w:t>focus</w:t>
      </w:r>
      <w:r>
        <w:rPr>
          <w:spacing w:val="-8"/>
        </w:rPr>
        <w:t xml:space="preserve"> </w:t>
      </w:r>
      <w:r>
        <w:t>on</w:t>
      </w:r>
      <w:r>
        <w:rPr>
          <w:spacing w:val="-8"/>
        </w:rPr>
        <w:t xml:space="preserve"> </w:t>
      </w:r>
      <w:r>
        <w:t>four</w:t>
      </w:r>
      <w:r>
        <w:rPr>
          <w:spacing w:val="-8"/>
        </w:rPr>
        <w:t xml:space="preserve"> </w:t>
      </w:r>
      <w:r>
        <w:t>themes:</w:t>
      </w:r>
      <w:r>
        <w:rPr>
          <w:spacing w:val="-7"/>
        </w:rPr>
        <w:t xml:space="preserve"> </w:t>
      </w:r>
      <w:r>
        <w:t>local</w:t>
      </w:r>
      <w:r>
        <w:rPr>
          <w:spacing w:val="-8"/>
        </w:rPr>
        <w:t xml:space="preserve"> </w:t>
      </w:r>
      <w:r>
        <w:t>level</w:t>
      </w:r>
      <w:r>
        <w:rPr>
          <w:spacing w:val="-8"/>
        </w:rPr>
        <w:t xml:space="preserve"> </w:t>
      </w:r>
      <w:r>
        <w:t>solutions,</w:t>
      </w:r>
      <w:r>
        <w:rPr>
          <w:spacing w:val="-8"/>
        </w:rPr>
        <w:t xml:space="preserve"> </w:t>
      </w:r>
      <w:r>
        <w:t>data and evidence, raising awareness among individuals, communities and organisations, and tackling the underlying causes of youth sexual violence and</w:t>
      </w:r>
      <w:r>
        <w:rPr>
          <w:spacing w:val="-14"/>
        </w:rPr>
        <w:t xml:space="preserve"> </w:t>
      </w:r>
      <w:r>
        <w:t>abuse.</w:t>
      </w:r>
    </w:p>
    <w:p w14:paraId="10172755" w14:textId="764B25AE" w:rsidR="00732192" w:rsidRDefault="00BC704B" w:rsidP="00A6094B">
      <w:pPr>
        <w:pStyle w:val="ListParagraph"/>
        <w:numPr>
          <w:ilvl w:val="0"/>
          <w:numId w:val="1"/>
        </w:numPr>
        <w:tabs>
          <w:tab w:val="left" w:pos="487"/>
        </w:tabs>
        <w:spacing w:before="240"/>
        <w:ind w:left="283" w:right="0" w:hanging="283"/>
        <w:jc w:val="both"/>
      </w:pPr>
      <w:r>
        <w:rPr>
          <w:spacing w:val="-4"/>
          <w:u w:val="single"/>
        </w:rPr>
        <w:t>Cabinet</w:t>
      </w:r>
      <w:r>
        <w:rPr>
          <w:spacing w:val="-17"/>
          <w:u w:val="single"/>
        </w:rPr>
        <w:t xml:space="preserve"> </w:t>
      </w:r>
      <w:r>
        <w:rPr>
          <w:spacing w:val="-3"/>
          <w:u w:val="single"/>
        </w:rPr>
        <w:t>approved</w:t>
      </w:r>
      <w:r>
        <w:rPr>
          <w:spacing w:val="-18"/>
        </w:rPr>
        <w:t xml:space="preserve"> </w:t>
      </w:r>
      <w:r>
        <w:rPr>
          <w:spacing w:val="-3"/>
        </w:rPr>
        <w:t>the</w:t>
      </w:r>
      <w:r>
        <w:rPr>
          <w:spacing w:val="-17"/>
        </w:rPr>
        <w:t xml:space="preserve"> </w:t>
      </w:r>
      <w:r w:rsidRPr="001E6335">
        <w:rPr>
          <w:spacing w:val="-4"/>
        </w:rPr>
        <w:t>development</w:t>
      </w:r>
      <w:r w:rsidRPr="001E6335">
        <w:rPr>
          <w:spacing w:val="-17"/>
        </w:rPr>
        <w:t xml:space="preserve"> </w:t>
      </w:r>
      <w:r w:rsidRPr="001E6335">
        <w:t>of</w:t>
      </w:r>
      <w:r w:rsidRPr="001E6335">
        <w:rPr>
          <w:spacing w:val="-16"/>
        </w:rPr>
        <w:t xml:space="preserve"> </w:t>
      </w:r>
      <w:r w:rsidRPr="001E6335">
        <w:t>a</w:t>
      </w:r>
      <w:r w:rsidRPr="001E6335">
        <w:rPr>
          <w:spacing w:val="-17"/>
        </w:rPr>
        <w:t xml:space="preserve"> </w:t>
      </w:r>
      <w:r w:rsidRPr="001E6335">
        <w:rPr>
          <w:spacing w:val="-4"/>
        </w:rPr>
        <w:t>Queensland</w:t>
      </w:r>
      <w:r w:rsidRPr="001E6335">
        <w:rPr>
          <w:spacing w:val="-18"/>
        </w:rPr>
        <w:t xml:space="preserve"> </w:t>
      </w:r>
      <w:r w:rsidRPr="001E6335">
        <w:rPr>
          <w:spacing w:val="-3"/>
        </w:rPr>
        <w:t>sexual</w:t>
      </w:r>
      <w:r w:rsidRPr="001E6335">
        <w:rPr>
          <w:spacing w:val="-17"/>
        </w:rPr>
        <w:t xml:space="preserve"> </w:t>
      </w:r>
      <w:r w:rsidRPr="001E6335">
        <w:rPr>
          <w:spacing w:val="-3"/>
        </w:rPr>
        <w:t>violence</w:t>
      </w:r>
      <w:r w:rsidRPr="001E6335">
        <w:rPr>
          <w:spacing w:val="-18"/>
        </w:rPr>
        <w:t xml:space="preserve"> </w:t>
      </w:r>
      <w:r w:rsidRPr="001E6335">
        <w:rPr>
          <w:spacing w:val="-4"/>
        </w:rPr>
        <w:t>prevention</w:t>
      </w:r>
      <w:r w:rsidRPr="001E6335">
        <w:rPr>
          <w:spacing w:val="-17"/>
        </w:rPr>
        <w:t xml:space="preserve"> </w:t>
      </w:r>
      <w:r w:rsidRPr="001E6335">
        <w:rPr>
          <w:spacing w:val="-4"/>
        </w:rPr>
        <w:t>framework</w:t>
      </w:r>
      <w:r w:rsidR="00ED3058">
        <w:rPr>
          <w:spacing w:val="-4"/>
        </w:rPr>
        <w:t xml:space="preserve"> and</w:t>
      </w:r>
      <w:r w:rsidRPr="001E6335">
        <w:rPr>
          <w:spacing w:val="-18"/>
        </w:rPr>
        <w:t xml:space="preserve"> </w:t>
      </w:r>
      <w:r w:rsidRPr="001E6335">
        <w:rPr>
          <w:spacing w:val="-3"/>
        </w:rPr>
        <w:t>the</w:t>
      </w:r>
      <w:r>
        <w:rPr>
          <w:spacing w:val="-3"/>
        </w:rPr>
        <w:t xml:space="preserve"> </w:t>
      </w:r>
      <w:r w:rsidRPr="001E6335">
        <w:rPr>
          <w:spacing w:val="-4"/>
        </w:rPr>
        <w:t xml:space="preserve">public release </w:t>
      </w:r>
      <w:r w:rsidRPr="001E6335">
        <w:t xml:space="preserve">of </w:t>
      </w:r>
      <w:r w:rsidRPr="001E6335">
        <w:rPr>
          <w:spacing w:val="-3"/>
        </w:rPr>
        <w:t>the Final Report</w:t>
      </w:r>
      <w:r>
        <w:rPr>
          <w:spacing w:val="-3"/>
        </w:rPr>
        <w:t xml:space="preserve"> </w:t>
      </w:r>
      <w:r>
        <w:t xml:space="preserve">of </w:t>
      </w:r>
      <w:r>
        <w:rPr>
          <w:spacing w:val="-3"/>
        </w:rPr>
        <w:t xml:space="preserve">the Youth Sexual Violence and Abuse </w:t>
      </w:r>
      <w:r>
        <w:rPr>
          <w:spacing w:val="-4"/>
        </w:rPr>
        <w:t xml:space="preserve">Steering Committee </w:t>
      </w:r>
      <w:r>
        <w:rPr>
          <w:spacing w:val="-3"/>
        </w:rPr>
        <w:t xml:space="preserve">and </w:t>
      </w:r>
      <w:r w:rsidRPr="001E6335">
        <w:rPr>
          <w:spacing w:val="-4"/>
        </w:rPr>
        <w:t>Queensland Government</w:t>
      </w:r>
      <w:r w:rsidRPr="001E6335">
        <w:rPr>
          <w:spacing w:val="1"/>
        </w:rPr>
        <w:t xml:space="preserve"> </w:t>
      </w:r>
      <w:r w:rsidRPr="001E6335">
        <w:rPr>
          <w:spacing w:val="-4"/>
        </w:rPr>
        <w:t>response</w:t>
      </w:r>
      <w:r>
        <w:rPr>
          <w:spacing w:val="-4"/>
        </w:rPr>
        <w:t>.</w:t>
      </w:r>
    </w:p>
    <w:p w14:paraId="0B4FF67C" w14:textId="6CCDF3B2" w:rsidR="00732192" w:rsidRPr="001E6335" w:rsidRDefault="00BC704B" w:rsidP="00A6094B">
      <w:pPr>
        <w:pStyle w:val="ListParagraph"/>
        <w:numPr>
          <w:ilvl w:val="0"/>
          <w:numId w:val="1"/>
        </w:numPr>
        <w:tabs>
          <w:tab w:val="left" w:pos="487"/>
        </w:tabs>
        <w:spacing w:before="360"/>
        <w:ind w:left="283" w:right="0" w:hanging="283"/>
        <w:jc w:val="both"/>
        <w:rPr>
          <w:i/>
        </w:rPr>
      </w:pPr>
      <w:r w:rsidRPr="001E6335">
        <w:rPr>
          <w:i/>
          <w:spacing w:val="-4"/>
          <w:u w:val="single"/>
        </w:rPr>
        <w:t>Attachments</w:t>
      </w:r>
    </w:p>
    <w:p w14:paraId="15AFBC2E" w14:textId="612BEDD8" w:rsidR="00732192" w:rsidRDefault="00A3262C" w:rsidP="00A6094B">
      <w:pPr>
        <w:pStyle w:val="ListParagraph"/>
        <w:numPr>
          <w:ilvl w:val="1"/>
          <w:numId w:val="1"/>
        </w:numPr>
        <w:tabs>
          <w:tab w:val="left" w:pos="771"/>
        </w:tabs>
        <w:spacing w:before="120"/>
        <w:ind w:left="681" w:right="0" w:hanging="284"/>
        <w:jc w:val="both"/>
      </w:pPr>
      <w:hyperlink r:id="rId7" w:history="1">
        <w:r w:rsidR="00BC704B" w:rsidRPr="00827BC1">
          <w:rPr>
            <w:rStyle w:val="Hyperlink"/>
          </w:rPr>
          <w:t>Youth Sexual Violence and Abuse Steering Committee Final</w:t>
        </w:r>
        <w:r w:rsidR="00BC704B" w:rsidRPr="00827BC1">
          <w:rPr>
            <w:rStyle w:val="Hyperlink"/>
            <w:spacing w:val="-10"/>
          </w:rPr>
          <w:t xml:space="preserve"> </w:t>
        </w:r>
        <w:r w:rsidR="00BC704B" w:rsidRPr="00827BC1">
          <w:rPr>
            <w:rStyle w:val="Hyperlink"/>
          </w:rPr>
          <w:t>Report</w:t>
        </w:r>
      </w:hyperlink>
    </w:p>
    <w:p w14:paraId="11D2EEFB" w14:textId="053A5767" w:rsidR="00732192" w:rsidRDefault="00A3262C" w:rsidP="00A6094B">
      <w:pPr>
        <w:pStyle w:val="ListParagraph"/>
        <w:numPr>
          <w:ilvl w:val="1"/>
          <w:numId w:val="1"/>
        </w:numPr>
        <w:tabs>
          <w:tab w:val="left" w:pos="771"/>
        </w:tabs>
        <w:spacing w:before="120"/>
        <w:ind w:left="681" w:right="0" w:hanging="284"/>
        <w:jc w:val="both"/>
      </w:pPr>
      <w:hyperlink r:id="rId8" w:history="1">
        <w:r w:rsidR="00BC704B" w:rsidRPr="00827BC1">
          <w:rPr>
            <w:rStyle w:val="Hyperlink"/>
          </w:rPr>
          <w:t>Queensland Government response to the Youth Sexual Violence and Abuse Steering Committee’s Final</w:t>
        </w:r>
        <w:r w:rsidR="00BC704B" w:rsidRPr="00827BC1">
          <w:rPr>
            <w:rStyle w:val="Hyperlink"/>
            <w:spacing w:val="-5"/>
          </w:rPr>
          <w:t xml:space="preserve"> </w:t>
        </w:r>
        <w:r w:rsidR="00BC704B" w:rsidRPr="00827BC1">
          <w:rPr>
            <w:rStyle w:val="Hyperlink"/>
          </w:rPr>
          <w:t>Report</w:t>
        </w:r>
      </w:hyperlink>
    </w:p>
    <w:sectPr w:rsidR="00732192" w:rsidSect="00A6094B">
      <w:headerReference w:type="default" r:id="rId9"/>
      <w:pgSz w:w="11910" w:h="16840" w:code="9"/>
      <w:pgMar w:top="1021" w:right="851" w:bottom="709"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669F3" w14:textId="77777777" w:rsidR="00C13400" w:rsidRDefault="00C13400" w:rsidP="002E38E7">
      <w:r>
        <w:separator/>
      </w:r>
    </w:p>
  </w:endnote>
  <w:endnote w:type="continuationSeparator" w:id="0">
    <w:p w14:paraId="49697057" w14:textId="77777777" w:rsidR="00C13400" w:rsidRDefault="00C13400" w:rsidP="002E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B52C3" w14:textId="77777777" w:rsidR="00C13400" w:rsidRDefault="00C13400" w:rsidP="002E38E7">
      <w:r>
        <w:separator/>
      </w:r>
    </w:p>
  </w:footnote>
  <w:footnote w:type="continuationSeparator" w:id="0">
    <w:p w14:paraId="3C3445F7" w14:textId="77777777" w:rsidR="00C13400" w:rsidRDefault="00C13400" w:rsidP="002E3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EE25C" w14:textId="77777777" w:rsidR="002E38E7" w:rsidRPr="00937A4A" w:rsidRDefault="002E38E7" w:rsidP="002E38E7">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1F1EA5F6" w14:textId="77777777" w:rsidR="002E38E7" w:rsidRPr="00937A4A" w:rsidRDefault="002E38E7" w:rsidP="002E38E7">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75D18D3B" w14:textId="77777777" w:rsidR="002E38E7" w:rsidRPr="00937A4A" w:rsidRDefault="002E38E7" w:rsidP="002E38E7">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July 2018</w:t>
    </w:r>
  </w:p>
  <w:p w14:paraId="0323F97D" w14:textId="1BB0E856" w:rsidR="002E38E7" w:rsidRDefault="002E38E7" w:rsidP="002E38E7">
    <w:pPr>
      <w:pStyle w:val="Header"/>
      <w:spacing w:before="120"/>
      <w:rPr>
        <w:b/>
        <w:u w:val="single"/>
      </w:rPr>
    </w:pPr>
    <w:r>
      <w:rPr>
        <w:b/>
        <w:u w:val="single"/>
      </w:rPr>
      <w:t>Queensland sexual violence prevention framework</w:t>
    </w:r>
  </w:p>
  <w:p w14:paraId="1626D700" w14:textId="77777777" w:rsidR="002E38E7" w:rsidRDefault="002E38E7" w:rsidP="002E38E7">
    <w:pPr>
      <w:pStyle w:val="Header"/>
      <w:spacing w:before="120"/>
      <w:rPr>
        <w:b/>
        <w:u w:val="single"/>
      </w:rPr>
    </w:pPr>
    <w:r>
      <w:rPr>
        <w:b/>
        <w:u w:val="single"/>
      </w:rPr>
      <w:t>Minister for Child Safety, Youth and Women and Minister for the Prevention of Domestic and Family Violence</w:t>
    </w:r>
  </w:p>
  <w:p w14:paraId="6B12E361" w14:textId="77777777" w:rsidR="002E38E7" w:rsidRDefault="002E38E7" w:rsidP="002E38E7">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87D0B"/>
    <w:multiLevelType w:val="hybridMultilevel"/>
    <w:tmpl w:val="DB5E654C"/>
    <w:lvl w:ilvl="0" w:tplc="7D7EBB16">
      <w:start w:val="1"/>
      <w:numFmt w:val="decimal"/>
      <w:lvlText w:val="%1."/>
      <w:lvlJc w:val="left"/>
      <w:pPr>
        <w:ind w:left="486" w:hanging="284"/>
        <w:jc w:val="left"/>
      </w:pPr>
      <w:rPr>
        <w:rFonts w:ascii="Arial" w:eastAsia="Arial" w:hAnsi="Arial" w:cs="Arial" w:hint="default"/>
        <w:i w:val="0"/>
        <w:w w:val="99"/>
        <w:sz w:val="22"/>
        <w:szCs w:val="22"/>
      </w:rPr>
    </w:lvl>
    <w:lvl w:ilvl="1" w:tplc="4A7260AC">
      <w:numFmt w:val="bullet"/>
      <w:lvlText w:val=""/>
      <w:lvlJc w:val="left"/>
      <w:pPr>
        <w:ind w:left="770" w:hanging="285"/>
      </w:pPr>
      <w:rPr>
        <w:rFonts w:ascii="Symbol" w:eastAsia="Symbol" w:hAnsi="Symbol" w:cs="Symbol" w:hint="default"/>
        <w:w w:val="99"/>
        <w:sz w:val="22"/>
        <w:szCs w:val="22"/>
      </w:rPr>
    </w:lvl>
    <w:lvl w:ilvl="2" w:tplc="29A40028">
      <w:numFmt w:val="bullet"/>
      <w:lvlText w:val="•"/>
      <w:lvlJc w:val="left"/>
      <w:pPr>
        <w:ind w:left="1776" w:hanging="285"/>
      </w:pPr>
      <w:rPr>
        <w:rFonts w:hint="default"/>
      </w:rPr>
    </w:lvl>
    <w:lvl w:ilvl="3" w:tplc="7AAE0554">
      <w:numFmt w:val="bullet"/>
      <w:lvlText w:val="•"/>
      <w:lvlJc w:val="left"/>
      <w:pPr>
        <w:ind w:left="2772" w:hanging="285"/>
      </w:pPr>
      <w:rPr>
        <w:rFonts w:hint="default"/>
      </w:rPr>
    </w:lvl>
    <w:lvl w:ilvl="4" w:tplc="B6DA3FE4">
      <w:numFmt w:val="bullet"/>
      <w:lvlText w:val="•"/>
      <w:lvlJc w:val="left"/>
      <w:pPr>
        <w:ind w:left="3768" w:hanging="285"/>
      </w:pPr>
      <w:rPr>
        <w:rFonts w:hint="default"/>
      </w:rPr>
    </w:lvl>
    <w:lvl w:ilvl="5" w:tplc="6FA69E54">
      <w:numFmt w:val="bullet"/>
      <w:lvlText w:val="•"/>
      <w:lvlJc w:val="left"/>
      <w:pPr>
        <w:ind w:left="4764" w:hanging="285"/>
      </w:pPr>
      <w:rPr>
        <w:rFonts w:hint="default"/>
      </w:rPr>
    </w:lvl>
    <w:lvl w:ilvl="6" w:tplc="A5E02BC2">
      <w:numFmt w:val="bullet"/>
      <w:lvlText w:val="•"/>
      <w:lvlJc w:val="left"/>
      <w:pPr>
        <w:ind w:left="5760" w:hanging="285"/>
      </w:pPr>
      <w:rPr>
        <w:rFonts w:hint="default"/>
      </w:rPr>
    </w:lvl>
    <w:lvl w:ilvl="7" w:tplc="2D7074E4">
      <w:numFmt w:val="bullet"/>
      <w:lvlText w:val="•"/>
      <w:lvlJc w:val="left"/>
      <w:pPr>
        <w:ind w:left="6756" w:hanging="285"/>
      </w:pPr>
      <w:rPr>
        <w:rFonts w:hint="default"/>
      </w:rPr>
    </w:lvl>
    <w:lvl w:ilvl="8" w:tplc="ED1ABF8A">
      <w:numFmt w:val="bullet"/>
      <w:lvlText w:val="•"/>
      <w:lvlJc w:val="left"/>
      <w:pPr>
        <w:ind w:left="7752" w:hanging="28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32192"/>
    <w:rsid w:val="000D075F"/>
    <w:rsid w:val="0015357B"/>
    <w:rsid w:val="001E6335"/>
    <w:rsid w:val="002E38E7"/>
    <w:rsid w:val="005464BF"/>
    <w:rsid w:val="006165F1"/>
    <w:rsid w:val="006D7B6D"/>
    <w:rsid w:val="00732192"/>
    <w:rsid w:val="00827BC1"/>
    <w:rsid w:val="00A3262C"/>
    <w:rsid w:val="00A6094B"/>
    <w:rsid w:val="00BA370B"/>
    <w:rsid w:val="00BC704B"/>
    <w:rsid w:val="00C13400"/>
    <w:rsid w:val="00D82EAC"/>
    <w:rsid w:val="00ED30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60" w:right="613" w:hanging="4"/>
      <w:jc w:val="center"/>
      <w:outlineLvl w:val="0"/>
    </w:pPr>
    <w:rPr>
      <w:b/>
      <w:bCs/>
      <w:sz w:val="56"/>
      <w:szCs w:val="56"/>
    </w:rPr>
  </w:style>
  <w:style w:type="paragraph" w:styleId="Heading2">
    <w:name w:val="heading 2"/>
    <w:basedOn w:val="Normal"/>
    <w:uiPriority w:val="1"/>
    <w:qFormat/>
    <w:pPr>
      <w:spacing w:before="76"/>
      <w:ind w:left="203" w:right="32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6" w:right="327" w:hanging="28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38E7"/>
    <w:pPr>
      <w:tabs>
        <w:tab w:val="center" w:pos="4513"/>
        <w:tab w:val="right" w:pos="9026"/>
      </w:tabs>
    </w:pPr>
  </w:style>
  <w:style w:type="character" w:customStyle="1" w:styleId="HeaderChar">
    <w:name w:val="Header Char"/>
    <w:basedOn w:val="DefaultParagraphFont"/>
    <w:link w:val="Header"/>
    <w:uiPriority w:val="99"/>
    <w:rsid w:val="002E38E7"/>
    <w:rPr>
      <w:rFonts w:ascii="Arial" w:eastAsia="Arial" w:hAnsi="Arial" w:cs="Arial"/>
    </w:rPr>
  </w:style>
  <w:style w:type="paragraph" w:styleId="Footer">
    <w:name w:val="footer"/>
    <w:basedOn w:val="Normal"/>
    <w:link w:val="FooterChar"/>
    <w:uiPriority w:val="99"/>
    <w:unhideWhenUsed/>
    <w:rsid w:val="002E38E7"/>
    <w:pPr>
      <w:tabs>
        <w:tab w:val="center" w:pos="4513"/>
        <w:tab w:val="right" w:pos="9026"/>
      </w:tabs>
    </w:pPr>
  </w:style>
  <w:style w:type="character" w:customStyle="1" w:styleId="FooterChar">
    <w:name w:val="Footer Char"/>
    <w:basedOn w:val="DefaultParagraphFont"/>
    <w:link w:val="Footer"/>
    <w:uiPriority w:val="99"/>
    <w:rsid w:val="002E38E7"/>
    <w:rPr>
      <w:rFonts w:ascii="Arial" w:eastAsia="Arial" w:hAnsi="Arial" w:cs="Arial"/>
    </w:rPr>
  </w:style>
  <w:style w:type="paragraph" w:styleId="BalloonText">
    <w:name w:val="Balloon Text"/>
    <w:basedOn w:val="Normal"/>
    <w:link w:val="BalloonTextChar"/>
    <w:uiPriority w:val="99"/>
    <w:semiHidden/>
    <w:unhideWhenUsed/>
    <w:rsid w:val="002E3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8E7"/>
    <w:rPr>
      <w:rFonts w:ascii="Segoe UI" w:eastAsia="Arial" w:hAnsi="Segoe UI" w:cs="Segoe UI"/>
      <w:sz w:val="18"/>
      <w:szCs w:val="18"/>
    </w:rPr>
  </w:style>
  <w:style w:type="character" w:styleId="CommentReference">
    <w:name w:val="annotation reference"/>
    <w:basedOn w:val="DefaultParagraphFont"/>
    <w:uiPriority w:val="99"/>
    <w:semiHidden/>
    <w:unhideWhenUsed/>
    <w:rsid w:val="00BA370B"/>
    <w:rPr>
      <w:sz w:val="16"/>
      <w:szCs w:val="16"/>
    </w:rPr>
  </w:style>
  <w:style w:type="paragraph" w:styleId="CommentText">
    <w:name w:val="annotation text"/>
    <w:basedOn w:val="Normal"/>
    <w:link w:val="CommentTextChar"/>
    <w:uiPriority w:val="99"/>
    <w:semiHidden/>
    <w:unhideWhenUsed/>
    <w:rsid w:val="00BA370B"/>
    <w:rPr>
      <w:sz w:val="20"/>
      <w:szCs w:val="20"/>
    </w:rPr>
  </w:style>
  <w:style w:type="character" w:customStyle="1" w:styleId="CommentTextChar">
    <w:name w:val="Comment Text Char"/>
    <w:basedOn w:val="DefaultParagraphFont"/>
    <w:link w:val="CommentText"/>
    <w:uiPriority w:val="99"/>
    <w:semiHidden/>
    <w:rsid w:val="00BA370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A370B"/>
    <w:rPr>
      <w:b/>
      <w:bCs/>
    </w:rPr>
  </w:style>
  <w:style w:type="character" w:customStyle="1" w:styleId="CommentSubjectChar">
    <w:name w:val="Comment Subject Char"/>
    <w:basedOn w:val="CommentTextChar"/>
    <w:link w:val="CommentSubject"/>
    <w:uiPriority w:val="99"/>
    <w:semiHidden/>
    <w:rsid w:val="00BA370B"/>
    <w:rPr>
      <w:rFonts w:ascii="Arial" w:eastAsia="Arial" w:hAnsi="Arial" w:cs="Arial"/>
      <w:b/>
      <w:bCs/>
      <w:sz w:val="20"/>
      <w:szCs w:val="20"/>
    </w:rPr>
  </w:style>
  <w:style w:type="character" w:styleId="Hyperlink">
    <w:name w:val="Hyperlink"/>
    <w:basedOn w:val="DefaultParagraphFont"/>
    <w:uiPriority w:val="99"/>
    <w:unhideWhenUsed/>
    <w:rsid w:val="00827BC1"/>
    <w:rPr>
      <w:color w:val="0000FF" w:themeColor="hyperlink"/>
      <w:u w:val="single"/>
    </w:rPr>
  </w:style>
  <w:style w:type="character" w:styleId="UnresolvedMention">
    <w:name w:val="Unresolved Mention"/>
    <w:basedOn w:val="DefaultParagraphFont"/>
    <w:uiPriority w:val="99"/>
    <w:semiHidden/>
    <w:unhideWhenUsed/>
    <w:rsid w:val="00827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Response.PDF" TargetMode="External"/><Relationship Id="rId3" Type="http://schemas.openxmlformats.org/officeDocument/2006/relationships/settings" Target="settings.xml"/><Relationship Id="rId7" Type="http://schemas.openxmlformats.org/officeDocument/2006/relationships/hyperlink" Target="Attachments/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409</Words>
  <Characters>2356</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Base>https://www.cabinet.qld.gov.au/documents/2018/Jul/YSVSC/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7</cp:revision>
  <dcterms:created xsi:type="dcterms:W3CDTF">2018-07-19T13:11:00Z</dcterms:created>
  <dcterms:modified xsi:type="dcterms:W3CDTF">2019-12-11T09:12:00Z</dcterms:modified>
  <cp:category>Violence,Youth,Women,Aboriginal_and_Torres_Strait_Islander,Indigenous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PScript5.dll Version 5.2.2</vt:lpwstr>
  </property>
  <property fmtid="{D5CDD505-2E9C-101B-9397-08002B2CF9AE}" pid="4" name="LastSaved">
    <vt:filetime>2018-07-19T00:00:00Z</vt:filetime>
  </property>
</Properties>
</file>